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78" w:line="353" w:lineRule="auto"/>
        <w:ind w:left="3884" w:right="3866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FIŞA DISCIPLINEI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7" w:line="12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9" w:line="271" w:lineRule="auto"/>
        <w:ind w:right="-2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Date despre program</w:t>
      </w:r>
    </w:p>
    <w:p w:rsidR="00000000" w:rsidDel="00000000" w:rsidP="00000000" w:rsidRDefault="00000000" w:rsidRPr="00000000" w14:paraId="00000005">
      <w:pPr>
        <w:spacing w:after="0" w:before="29" w:line="271" w:lineRule="auto"/>
        <w:ind w:left="213" w:right="-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0.0" w:type="dxa"/>
        <w:jc w:val="left"/>
        <w:tblInd w:w="5.0" w:type="dxa"/>
        <w:tblLayout w:type="fixed"/>
        <w:tblLook w:val="0000"/>
      </w:tblPr>
      <w:tblGrid>
        <w:gridCol w:w="3795"/>
        <w:gridCol w:w="6395"/>
        <w:tblGridChange w:id="0">
          <w:tblGrid>
            <w:gridCol w:w="3795"/>
            <w:gridCol w:w="6395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 Instituţia de învăţământ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ind w:left="174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Universitatea Creştină Partium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 Facultatea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174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Facultatea de Litere şi Arte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 Departamentul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Limbă şi literatură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 Domeniul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174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Limbă şi literatură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69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 Ciclul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69" w:lineRule="auto"/>
              <w:ind w:left="174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Masterat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1.6 Programul de studii/Calificarea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67" w:lineRule="auto"/>
              <w:ind w:left="174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Multilingvism și Multiculturalism // Masterat în filologie</w:t>
            </w:r>
          </w:p>
        </w:tc>
      </w:tr>
    </w:tbl>
    <w:p w:rsidR="00000000" w:rsidDel="00000000" w:rsidP="00000000" w:rsidRDefault="00000000" w:rsidRPr="00000000" w14:paraId="00000012">
      <w:pPr>
        <w:spacing w:after="0" w:before="11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29" w:line="271" w:lineRule="auto"/>
        <w:ind w:right="-2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Date despre disciplină</w:t>
      </w:r>
    </w:p>
    <w:p w:rsidR="00000000" w:rsidDel="00000000" w:rsidP="00000000" w:rsidRDefault="00000000" w:rsidRPr="00000000" w14:paraId="00000014">
      <w:pPr>
        <w:spacing w:after="0" w:before="29" w:line="271" w:lineRule="auto"/>
        <w:ind w:left="213" w:right="-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90.0" w:type="dxa"/>
        <w:jc w:val="left"/>
        <w:tblInd w:w="5.0" w:type="dxa"/>
        <w:tblLayout w:type="fixed"/>
        <w:tblLook w:val="0000"/>
      </w:tblPr>
      <w:tblGrid>
        <w:gridCol w:w="3229"/>
        <w:gridCol w:w="6961"/>
        <w:tblGridChange w:id="0">
          <w:tblGrid>
            <w:gridCol w:w="3229"/>
            <w:gridCol w:w="696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 Denumirea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67" w:lineRule="auto"/>
              <w:ind w:left="102" w:right="-2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Narativele culturii europene în cultură, limbă și literatură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 Titularul activităţii de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Lect. univ. dr. Albu-Balogh Andrea</w:t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 Titularul activităţii de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 Anul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69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 Semestrul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69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2.6 Tipul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67" w:lineRule="auto"/>
              <w:ind w:right="-2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examen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2.7 Regimul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="267" w:lineRule="auto"/>
              <w:ind w:right="-2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disciplină obligatorie</w:t>
            </w:r>
          </w:p>
        </w:tc>
      </w:tr>
    </w:tbl>
    <w:p w:rsidR="00000000" w:rsidDel="00000000" w:rsidP="00000000" w:rsidRDefault="00000000" w:rsidRPr="00000000" w14:paraId="00000024">
      <w:pPr>
        <w:spacing w:after="0" w:before="1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29" w:line="271" w:lineRule="auto"/>
        <w:ind w:right="-2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Timpul total estimat</w:t>
      </w:r>
    </w:p>
    <w:p w:rsidR="00000000" w:rsidDel="00000000" w:rsidP="00000000" w:rsidRDefault="00000000" w:rsidRPr="00000000" w14:paraId="00000026">
      <w:pPr>
        <w:spacing w:after="0" w:before="29" w:line="271" w:lineRule="auto"/>
        <w:ind w:left="213" w:right="-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90.0" w:type="dxa"/>
        <w:jc w:val="left"/>
        <w:tblInd w:w="5.0" w:type="dxa"/>
        <w:tblLayout w:type="fixed"/>
        <w:tblLook w:val="0000"/>
      </w:tblPr>
      <w:tblGrid>
        <w:gridCol w:w="3935"/>
        <w:gridCol w:w="708"/>
        <w:gridCol w:w="1844"/>
        <w:gridCol w:w="710"/>
        <w:gridCol w:w="2273"/>
        <w:gridCol w:w="720"/>
        <w:tblGridChange w:id="0">
          <w:tblGrid>
            <w:gridCol w:w="3935"/>
            <w:gridCol w:w="708"/>
            <w:gridCol w:w="1844"/>
            <w:gridCol w:w="710"/>
            <w:gridCol w:w="2273"/>
            <w:gridCol w:w="720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 Număr de ore pe săptămână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67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67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din care3.2curs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67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3.3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67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3.4 Total ore din planul de învăţământ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67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67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din care3.5curs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67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3.6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line="267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="269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Distribuţia fondului de timp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0" w:line="269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Studiul după manual, support de curs, bibliografie şi notiţe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line="267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Documentare suplimentară în bibliotecă, pe platforme electronice de specialitate şi pe teren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after="0" w:line="267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Pregătire seminarii/laboratoare, teme, referate, portofolii şi eseuri</w:t>
            </w:r>
          </w:p>
          <w:p w:rsidR="00000000" w:rsidDel="00000000" w:rsidP="00000000" w:rsidRDefault="00000000" w:rsidRPr="00000000" w14:paraId="00000046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line="267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line="267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Examinări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67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0" w:line="269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activităţi…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–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line="272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3.7 Total ore studiu individual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line="272" w:lineRule="auto"/>
              <w:jc w:val="center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95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line="272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 Total ore pe semestru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7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numPr>
                <w:ilvl w:val="1"/>
                <w:numId w:val="5"/>
              </w:numPr>
              <w:spacing w:after="0" w:line="272" w:lineRule="auto"/>
              <w:ind w:left="462" w:right="-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Numărul de credite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after="0" w:line="27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77">
      <w:pPr>
        <w:spacing w:after="0" w:before="5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before="29" w:line="271" w:lineRule="auto"/>
        <w:ind w:right="-20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Precondiţii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(acolo unde este cazul)</w:t>
      </w:r>
    </w:p>
    <w:p w:rsidR="00000000" w:rsidDel="00000000" w:rsidP="00000000" w:rsidRDefault="00000000" w:rsidRPr="00000000" w14:paraId="00000079">
      <w:pPr>
        <w:spacing w:after="0" w:before="29" w:line="271" w:lineRule="auto"/>
        <w:ind w:left="213" w:right="-20" w:firstLine="0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2" w:line="14.39999999999999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90.0" w:type="dxa"/>
        <w:jc w:val="left"/>
        <w:tblInd w:w="5.0" w:type="dxa"/>
        <w:tblLayout w:type="fixed"/>
        <w:tblLook w:val="0000"/>
      </w:tblPr>
      <w:tblGrid>
        <w:gridCol w:w="2093"/>
        <w:gridCol w:w="8097"/>
        <w:tblGridChange w:id="0">
          <w:tblGrid>
            <w:gridCol w:w="2093"/>
            <w:gridCol w:w="8097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4.1 de curriculum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–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4.2 de competenţe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–</w:t>
            </w:r>
          </w:p>
        </w:tc>
      </w:tr>
    </w:tbl>
    <w:p w:rsidR="00000000" w:rsidDel="00000000" w:rsidP="00000000" w:rsidRDefault="00000000" w:rsidRPr="00000000" w14:paraId="0000007F">
      <w:pPr>
        <w:spacing w:after="0" w:before="18" w:line="22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before="29" w:line="271" w:lineRule="auto"/>
        <w:ind w:right="-20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 Condiţii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(acolo unde este cazul)</w:t>
      </w:r>
    </w:p>
    <w:p w:rsidR="00000000" w:rsidDel="00000000" w:rsidP="00000000" w:rsidRDefault="00000000" w:rsidRPr="00000000" w14:paraId="00000081">
      <w:pPr>
        <w:spacing w:after="0" w:before="29" w:line="271" w:lineRule="auto"/>
        <w:ind w:left="213" w:right="-20" w:firstLine="0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2" w:line="14.39999999999999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90.0" w:type="dxa"/>
        <w:jc w:val="left"/>
        <w:tblInd w:w="5.0" w:type="dxa"/>
        <w:tblLayout w:type="fixed"/>
        <w:tblLook w:val="0000"/>
      </w:tblPr>
      <w:tblGrid>
        <w:gridCol w:w="4928"/>
        <w:gridCol w:w="5262"/>
        <w:tblGridChange w:id="0">
          <w:tblGrid>
            <w:gridCol w:w="4928"/>
            <w:gridCol w:w="5262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5.1 de desfăşurare a cursului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widowControl w:val="1"/>
              <w:spacing w:after="0" w:line="240" w:lineRule="auto"/>
              <w:ind w:lef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Sală de curs, dotată cu laptop, videoproiector,   legătură la Internet, software adecvat.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5.2 de desfăşurare a seminarului/laboratorului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17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Sală de seminar, dotată cu laptop, videoproiector, legătură la Internet, software adecvat.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spacing w:after="0" w:before="12" w:line="2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before="29" w:line="271" w:lineRule="auto"/>
        <w:ind w:right="-2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 Competenţe specifice acumulate</w:t>
      </w:r>
    </w:p>
    <w:p w:rsidR="00000000" w:rsidDel="00000000" w:rsidP="00000000" w:rsidRDefault="00000000" w:rsidRPr="00000000" w14:paraId="00000089">
      <w:pPr>
        <w:spacing w:after="0" w:before="29" w:line="271" w:lineRule="auto"/>
        <w:ind w:left="213" w:right="-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90.0" w:type="dxa"/>
        <w:jc w:val="left"/>
        <w:tblInd w:w="5.0" w:type="dxa"/>
        <w:tblLayout w:type="fixed"/>
        <w:tblLook w:val="0000"/>
      </w:tblPr>
      <w:tblGrid>
        <w:gridCol w:w="1527"/>
        <w:gridCol w:w="8663"/>
        <w:tblGridChange w:id="0">
          <w:tblGrid>
            <w:gridCol w:w="1527"/>
            <w:gridCol w:w="8663"/>
          </w:tblGrid>
        </w:tblGridChange>
      </w:tblGrid>
      <w:tr>
        <w:trPr>
          <w:cantSplit w:val="0"/>
          <w:trHeight w:val="20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69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profesionale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1"/>
              <w:spacing w:after="0" w:line="240" w:lineRule="auto"/>
              <w:ind w:left="33" w:right="125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C2.3. Receptarea critică și producerea de lucrări științifice specifice comunicării   științifice la nivel universitar.</w:t>
            </w:r>
          </w:p>
          <w:p w:rsidR="00000000" w:rsidDel="00000000" w:rsidP="00000000" w:rsidRDefault="00000000" w:rsidRPr="00000000" w14:paraId="0000008D">
            <w:pPr>
              <w:widowControl w:val="1"/>
              <w:spacing w:after="0" w:line="240" w:lineRule="auto"/>
              <w:ind w:left="33" w:right="125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C2.4. Utilizarea cu discernământ și probitate științifică a surselor de informare.</w:t>
            </w:r>
          </w:p>
          <w:p w:rsidR="00000000" w:rsidDel="00000000" w:rsidP="00000000" w:rsidRDefault="00000000" w:rsidRPr="00000000" w14:paraId="0000008E">
            <w:pPr>
              <w:widowControl w:val="1"/>
              <w:spacing w:after="0" w:line="240" w:lineRule="auto"/>
              <w:ind w:left="33" w:right="125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C2.5. Organizarea unor dezbateri, construirea unui studiu de caz și argumentarea</w:t>
            </w:r>
          </w:p>
          <w:p w:rsidR="00000000" w:rsidDel="00000000" w:rsidP="00000000" w:rsidRDefault="00000000" w:rsidRPr="00000000" w14:paraId="0000008F">
            <w:pPr>
              <w:widowControl w:val="1"/>
              <w:spacing w:after="0" w:line="240" w:lineRule="auto"/>
              <w:ind w:left="33" w:right="125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structurii acestuia.</w:t>
            </w:r>
          </w:p>
          <w:p w:rsidR="00000000" w:rsidDel="00000000" w:rsidP="00000000" w:rsidRDefault="00000000" w:rsidRPr="00000000" w14:paraId="00000090">
            <w:pPr>
              <w:widowControl w:val="1"/>
              <w:spacing w:after="0" w:line="240" w:lineRule="auto"/>
              <w:ind w:left="33" w:right="125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C4.3. Analiza sub aspect critic a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oricărui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act de comunicare orală sau scrisă; utilizarea informației teoretice în aplicații practice.</w:t>
            </w:r>
          </w:p>
        </w:tc>
      </w:tr>
      <w:tr>
        <w:trPr>
          <w:cantSplit w:val="0"/>
          <w:trHeight w:val="1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transversale</w:t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after="0" w:before="1" w:line="240" w:lineRule="auto"/>
              <w:ind w:left="102" w:right="7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CT1. Utilizarea componentelor domeniului limbii în deplină concordanţă cu etica profesională.</w:t>
            </w:r>
          </w:p>
          <w:p w:rsidR="00000000" w:rsidDel="00000000" w:rsidP="00000000" w:rsidRDefault="00000000" w:rsidRPr="00000000" w14:paraId="00000097">
            <w:pPr>
              <w:spacing w:after="0" w:before="1" w:line="240" w:lineRule="auto"/>
              <w:ind w:left="102" w:right="7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CT2. Relaţionarea în echipă și comunicarea interpersonală.</w:t>
            </w:r>
          </w:p>
          <w:p w:rsidR="00000000" w:rsidDel="00000000" w:rsidP="00000000" w:rsidRDefault="00000000" w:rsidRPr="00000000" w14:paraId="00000098">
            <w:pPr>
              <w:spacing w:after="0" w:before="1" w:line="240" w:lineRule="auto"/>
              <w:ind w:left="102" w:right="7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000000" w:rsidDel="00000000" w:rsidP="00000000" w:rsidRDefault="00000000" w:rsidRPr="00000000" w14:paraId="00000099">
      <w:pPr>
        <w:spacing w:after="0" w:before="5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before="29" w:line="271" w:lineRule="auto"/>
        <w:ind w:right="-20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7. Obiectivele disciplinei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(reieşind din grila competenţelor specifice accumulate)</w:t>
      </w:r>
    </w:p>
    <w:p w:rsidR="00000000" w:rsidDel="00000000" w:rsidP="00000000" w:rsidRDefault="00000000" w:rsidRPr="00000000" w14:paraId="0000009B">
      <w:pPr>
        <w:spacing w:after="0" w:before="29" w:line="271" w:lineRule="auto"/>
        <w:ind w:left="573" w:right="-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before="2" w:line="14.39999999999999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90.0" w:type="dxa"/>
        <w:jc w:val="left"/>
        <w:tblInd w:w="5.0" w:type="dxa"/>
        <w:tblLayout w:type="fixed"/>
        <w:tblLook w:val="0000"/>
      </w:tblPr>
      <w:tblGrid>
        <w:gridCol w:w="2694"/>
        <w:gridCol w:w="7496"/>
        <w:tblGridChange w:id="0">
          <w:tblGrid>
            <w:gridCol w:w="2694"/>
            <w:gridCol w:w="7496"/>
          </w:tblGrid>
        </w:tblGridChange>
      </w:tblGrid>
      <w:tr>
        <w:trPr>
          <w:cantSplit w:val="0"/>
          <w:trHeight w:val="1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7.1 Obiectivul general al</w:t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widowControl w:val="1"/>
              <w:numPr>
                <w:ilvl w:val="0"/>
                <w:numId w:val="7"/>
              </w:numPr>
              <w:spacing w:after="0" w:line="240" w:lineRule="auto"/>
              <w:ind w:left="47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Informarea studen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ț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ilor despre 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ț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iunile de baz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ă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ale disciplinei.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7"/>
              </w:numPr>
              <w:spacing w:after="0" w:line="240" w:lineRule="auto"/>
              <w:ind w:left="470" w:right="-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Dezvoltarea abilităţii de sintetizare a conceptelor fundamentale şi evaluarea critică a perspectivelor multiple aparţinând disciplinei.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7"/>
              </w:numPr>
              <w:spacing w:after="0" w:line="240" w:lineRule="auto"/>
              <w:ind w:left="470" w:right="-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Dezvoltarea gândirii critice asupra domeniului. 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ind w:right="-2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1"/>
              <w:spacing w:after="0" w:line="240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numPr>
                <w:ilvl w:val="1"/>
                <w:numId w:val="1"/>
              </w:numPr>
              <w:spacing w:after="0" w:line="267" w:lineRule="auto"/>
              <w:ind w:left="462" w:right="-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Obiectivele specifice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numPr>
                <w:ilvl w:val="0"/>
                <w:numId w:val="3"/>
              </w:numPr>
              <w:spacing w:after="0" w:line="240" w:lineRule="auto"/>
              <w:ind w:left="426" w:hanging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Familiarizarea studenților cu noțiunile legate de narativele culturii europene.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3"/>
              </w:numPr>
              <w:spacing w:after="0" w:line="240" w:lineRule="auto"/>
              <w:ind w:left="426" w:hanging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Îmbunătățirea cunoștințelor legate de formarea în timp și spațiu a diversității culturale.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Analiza caracterului complex al modalităţilor de abordare a fenomenului cultural europen şi a premizelor teoretice specifice. 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3"/>
              </w:numPr>
              <w:spacing w:after="0" w:line="240" w:lineRule="auto"/>
              <w:ind w:left="426" w:hanging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Dezvoltarea sensibilității față de diferențe culturale.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3"/>
              </w:numPr>
              <w:spacing w:after="0" w:line="240" w:lineRule="auto"/>
              <w:ind w:left="426" w:hanging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Stimularea deschiderii spre dialog cu alte modele culturale.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3"/>
              </w:numPr>
              <w:spacing w:line="240" w:lineRule="auto"/>
              <w:ind w:left="426" w:hanging="284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Stimularea studenților spre o mai bine înțelegere a culturii europene contemporane.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spacing w:after="0" w:before="3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before="29" w:line="240" w:lineRule="auto"/>
        <w:ind w:right="-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Conţinuturi</w:t>
      </w:r>
    </w:p>
    <w:p w:rsidR="00000000" w:rsidDel="00000000" w:rsidP="00000000" w:rsidRDefault="00000000" w:rsidRPr="00000000" w14:paraId="000000B5">
      <w:pPr>
        <w:spacing w:after="0" w:before="29" w:line="240" w:lineRule="auto"/>
        <w:ind w:left="573" w:right="-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190.000000000002" w:type="dxa"/>
        <w:jc w:val="left"/>
        <w:tblInd w:w="5.0" w:type="dxa"/>
        <w:tblLayout w:type="fixed"/>
        <w:tblLook w:val="0000"/>
      </w:tblPr>
      <w:tblGrid>
        <w:gridCol w:w="5802"/>
        <w:gridCol w:w="2672"/>
        <w:gridCol w:w="1716"/>
        <w:tblGridChange w:id="0">
          <w:tblGrid>
            <w:gridCol w:w="5802"/>
            <w:gridCol w:w="2672"/>
            <w:gridCol w:w="1716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0" w:line="272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8.1 Curs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="272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72" w:lineRule="auto"/>
              <w:ind w:left="10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widowControl w:val="1"/>
              <w:numPr>
                <w:ilvl w:val="0"/>
                <w:numId w:val="6"/>
              </w:numPr>
              <w:spacing w:after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Conceptul de cultură. Definiţii / A(z európai) kultúra fogalma</w:t>
            </w:r>
          </w:p>
          <w:p w:rsidR="00000000" w:rsidDel="00000000" w:rsidP="00000000" w:rsidRDefault="00000000" w:rsidRPr="00000000" w14:paraId="000000BA">
            <w:pPr>
              <w:widowControl w:val="1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="267" w:lineRule="auto"/>
              <w:ind w:left="10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7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Europa în cultura antică greacă și romană / Európa az ókori görög és római kultúrában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tabs>
                <w:tab w:val="left" w:leader="none" w:pos="820"/>
              </w:tabs>
              <w:spacing w:after="0" w:before="1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Creștinismul și Europa/ A kereszténység és Európa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Europa văzut din Est (prin ochii orientalismului) / A „vén kontinens” Keletről nézve: Európa és az orientalizmus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Povestirile evreilor europeni/ Az európai zsidóság történetei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Narațiuni urbane: Roma, Napoli, Veneția, Londra, Paris, Budapesta 1./ Városnarratívák: Róma, Nápoly, Velence, London, Párizs, Budapest 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Narațiuni urbane: Roma, Napoli, Veneția, Londra, Paris, Budapesta 2./ Városnarratívák: Róma, Nápoly, Velence, London, Párizs, Budapest 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widowControl w:val="1"/>
              <w:numPr>
                <w:ilvl w:val="0"/>
                <w:numId w:val="6"/>
              </w:numPr>
              <w:spacing w:after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Narațiuni despre războaiele europene/ Narratívák az európai háborúkról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Identitatea europeană și Uniunea Europeană / Az európai identitás és az Európai Unió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Diversitatea culturală a Europei: uniformitate și regionalism/ Európa kulturális diverzitása: egységesség és regionalizmus</w:t>
            </w:r>
          </w:p>
          <w:p w:rsidR="00000000" w:rsidDel="00000000" w:rsidP="00000000" w:rsidRDefault="00000000" w:rsidRPr="00000000" w14:paraId="000000D6">
            <w:pPr>
              <w:widowControl w:val="1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Distopii europene/ Európai disztópiák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Narațiuni despre epidemii în Europa/ Járványnarratívák  </w:t>
            </w:r>
          </w:p>
          <w:p w:rsidR="00000000" w:rsidDel="00000000" w:rsidP="00000000" w:rsidRDefault="00000000" w:rsidRPr="00000000" w14:paraId="000000DD">
            <w:pPr>
              <w:widowControl w:val="1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Gastronomie europeană/ Európai gasztrokultúra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widowControl w:val="1"/>
              <w:numPr>
                <w:ilvl w:val="0"/>
                <w:numId w:val="6"/>
              </w:numPr>
              <w:spacing w:after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Ghid turistic european/ Európai turistakalauz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tabs>
                <w:tab w:val="left" w:leader="none" w:pos="820"/>
              </w:tabs>
              <w:spacing w:after="0" w:before="4" w:line="240" w:lineRule="auto"/>
              <w:ind w:left="14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Prelegere, conversație euristică, exerciții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2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0" w:line="272" w:lineRule="auto"/>
              <w:ind w:left="142" w:right="12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Bibliografie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4"/>
              </w:numPr>
              <w:shd w:fill="ffffff" w:val="clear"/>
              <w:spacing w:after="120" w:before="28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Tóth Ákos, „A közösségiesedés folyamata az uniós tagállamok kulturális szférájában”, </w:t>
            </w:r>
            <w:r w:rsidDel="00000000" w:rsidR="00000000" w:rsidRPr="00000000">
              <w:rPr>
                <w:i w:val="1"/>
                <w:rtl w:val="0"/>
              </w:rPr>
              <w:t xml:space="preserve">Competitio</w:t>
            </w:r>
            <w:r w:rsidDel="00000000" w:rsidR="00000000" w:rsidRPr="00000000">
              <w:rPr>
                <w:rtl w:val="0"/>
              </w:rPr>
              <w:t xml:space="preserve"> 7, sz. 1 (2008. június 16.): 127–44, https://doi.org/10.21845/comp/2008/1/8.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Balogh Andrea, </w:t>
            </w:r>
            <w:r w:rsidDel="00000000" w:rsidR="00000000" w:rsidRPr="00000000">
              <w:rPr>
                <w:i w:val="1"/>
                <w:rtl w:val="0"/>
              </w:rPr>
              <w:t xml:space="preserve">A „saját idegen” problematikája Grecsó Krisztián Mellettem elférsz című regényében</w:t>
            </w:r>
            <w:r w:rsidDel="00000000" w:rsidR="00000000" w:rsidRPr="00000000">
              <w:rPr>
                <w:rtl w:val="0"/>
              </w:rPr>
              <w:t xml:space="preserve">, Lajos Katalin, Tapodi Zsuzsa szerk. </w:t>
            </w:r>
            <w:r w:rsidDel="00000000" w:rsidR="00000000" w:rsidRPr="00000000">
              <w:rPr>
                <w:i w:val="1"/>
                <w:rtl w:val="0"/>
              </w:rPr>
              <w:t xml:space="preserve">Az idegenség diskurzusai</w:t>
            </w:r>
            <w:r w:rsidDel="00000000" w:rsidR="00000000" w:rsidRPr="00000000">
              <w:rPr>
                <w:rtl w:val="0"/>
              </w:rPr>
              <w:t xml:space="preserve">, Kolozsvár – Csíkszereda, EME – Státus Kiadó, 2017, 145–155.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Balogh Andrea, </w:t>
            </w:r>
            <w:r w:rsidDel="00000000" w:rsidR="00000000" w:rsidRPr="00000000">
              <w:rPr>
                <w:i w:val="1"/>
                <w:rtl w:val="0"/>
              </w:rPr>
              <w:t xml:space="preserve">Ironikus terek. Térkonstrukció Karácsony Benő regényeiben</w:t>
            </w:r>
            <w:r w:rsidDel="00000000" w:rsidR="00000000" w:rsidRPr="00000000">
              <w:rPr>
                <w:rtl w:val="0"/>
              </w:rPr>
              <w:t xml:space="preserve">, Pieldner Judit, Tapodi Zsuzsa szerk., </w:t>
            </w:r>
            <w:r w:rsidDel="00000000" w:rsidR="00000000" w:rsidRPr="00000000">
              <w:rPr>
                <w:i w:val="1"/>
                <w:rtl w:val="0"/>
              </w:rPr>
              <w:t xml:space="preserve">A tér értelmezései, az értelmezés terei</w:t>
            </w:r>
            <w:r w:rsidDel="00000000" w:rsidR="00000000" w:rsidRPr="00000000">
              <w:rPr>
                <w:rtl w:val="0"/>
              </w:rPr>
              <w:t xml:space="preserve">, Kolozsvár – Csíkszereda, EME – Státus Kiadó, 2012, 325–333.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Balogh Andrea, A polgár fogalma és identitása Márai Sándor két regényében, </w:t>
            </w:r>
            <w:r w:rsidDel="00000000" w:rsidR="00000000" w:rsidRPr="00000000">
              <w:rPr>
                <w:i w:val="1"/>
                <w:rtl w:val="0"/>
              </w:rPr>
              <w:t xml:space="preserve">Erdélyi Múzeum</w:t>
            </w:r>
            <w:r w:rsidDel="00000000" w:rsidR="00000000" w:rsidRPr="00000000">
              <w:rPr>
                <w:rtl w:val="0"/>
              </w:rPr>
              <w:t xml:space="preserve">, Vol. LXX, No 2, 2008, pp. 29–43.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Bitterli, Urs: </w:t>
            </w:r>
            <w:r w:rsidDel="00000000" w:rsidR="00000000" w:rsidRPr="00000000">
              <w:rPr>
                <w:i w:val="1"/>
                <w:rtl w:val="0"/>
              </w:rPr>
              <w:t xml:space="preserve">"Vadak" és "civilizáltak" : Az európai-tengerentúli érintkezés szellem- és kultúrtörténete</w:t>
            </w:r>
            <w:r w:rsidDel="00000000" w:rsidR="00000000" w:rsidRPr="00000000">
              <w:rPr>
                <w:rtl w:val="0"/>
              </w:rPr>
              <w:t xml:space="preserve">. </w:t>
            </w:r>
            <w:hyperlink r:id="rId7">
              <w:r w:rsidDel="00000000" w:rsidR="00000000" w:rsidRPr="00000000">
                <w:rPr>
                  <w:rtl w:val="0"/>
                </w:rPr>
                <w:t xml:space="preserve">Budapest,</w:t>
              </w:r>
            </w:hyperlink>
            <w:r w:rsidDel="00000000" w:rsidR="00000000" w:rsidRPr="00000000">
              <w:rPr>
                <w:rtl w:val="0"/>
              </w:rPr>
              <w:t xml:space="preserve"> 1982.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4"/>
              </w:numPr>
              <w:spacing w:after="120"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Claudia-Ileana Spineanu, </w:t>
            </w:r>
            <w:r w:rsidDel="00000000" w:rsidR="00000000" w:rsidRPr="00000000">
              <w:rPr>
                <w:i w:val="1"/>
                <w:rtl w:val="0"/>
              </w:rPr>
              <w:t xml:space="preserve">Retorica în sincronie şi diacronie viziunea paradigmatică în cultura europeană şi filonul</w:t>
            </w:r>
            <w:r w:rsidDel="00000000" w:rsidR="00000000" w:rsidRPr="00000000">
              <w:rPr>
                <w:rtl w:val="0"/>
              </w:rPr>
              <w:t xml:space="preserve">, Timisoara, 2017. 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Cozma, Teodor:</w:t>
            </w:r>
            <w:r w:rsidDel="00000000" w:rsidR="00000000" w:rsidRPr="00000000">
              <w:rPr>
                <w:i w:val="1"/>
                <w:rtl w:val="0"/>
              </w:rPr>
              <w:t xml:space="preserve"> O nouă provocare pentru educaţie: interculturalitatea</w:t>
            </w:r>
            <w:r w:rsidDel="00000000" w:rsidR="00000000" w:rsidRPr="00000000">
              <w:rPr>
                <w:rtl w:val="0"/>
              </w:rPr>
              <w:t xml:space="preserve">. Iaşi, 2005.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Emőke Komoróczy G., </w:t>
            </w:r>
            <w:r w:rsidDel="00000000" w:rsidR="00000000" w:rsidRPr="00000000">
              <w:rPr>
                <w:i w:val="1"/>
                <w:rtl w:val="0"/>
              </w:rPr>
              <w:t xml:space="preserve">Az európai kultúra világképének változásai az emberiség-történet távlatából: Németh András verseskönyv-sorozatáról</w:t>
            </w:r>
            <w:r w:rsidDel="00000000" w:rsidR="00000000" w:rsidRPr="00000000">
              <w:rPr>
                <w:rtl w:val="0"/>
              </w:rPr>
              <w:t xml:space="preserve">, Káva téka (Budapest: Cédrus Művészeti Alapítvány, 2017).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Fukuyama, Francis: </w:t>
            </w:r>
            <w:r w:rsidDel="00000000" w:rsidR="00000000" w:rsidRPr="00000000">
              <w:rPr>
                <w:i w:val="1"/>
                <w:rtl w:val="0"/>
              </w:rPr>
              <w:t xml:space="preserve">A történelem vége és az utolsó ember</w:t>
            </w:r>
            <w:r w:rsidDel="00000000" w:rsidR="00000000" w:rsidRPr="00000000">
              <w:rPr>
                <w:rtl w:val="0"/>
              </w:rPr>
              <w:t xml:space="preserve">. Budapest, Európa, 1994.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Györgyjakab Izabella – Kukla Krisztián: </w:t>
            </w:r>
            <w:r w:rsidDel="00000000" w:rsidR="00000000" w:rsidRPr="00000000">
              <w:rPr>
                <w:i w:val="1"/>
                <w:rtl w:val="0"/>
              </w:rPr>
              <w:t xml:space="preserve">Centrum és periféria : határ menti perspektívák, kulturális regionalizmus, kortárs vizuális kultúra : Centru și periferie : Perspective în zonele transfrontaliere, regionalism cultural, cultură vizuală. </w:t>
            </w:r>
            <w:r w:rsidDel="00000000" w:rsidR="00000000" w:rsidRPr="00000000">
              <w:rPr>
                <w:rtl w:val="0"/>
              </w:rPr>
              <w:t xml:space="preserve">Debrecen, Mdem, 2011.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Huntington, Samuel P.: </w:t>
            </w:r>
            <w:r w:rsidDel="00000000" w:rsidR="00000000" w:rsidRPr="00000000">
              <w:rPr>
                <w:i w:val="1"/>
                <w:rtl w:val="0"/>
              </w:rPr>
              <w:t xml:space="preserve">A civilizációk összecsapása és a világrend átalakulása</w:t>
            </w:r>
            <w:r w:rsidDel="00000000" w:rsidR="00000000" w:rsidRPr="00000000">
              <w:rPr>
                <w:rtl w:val="0"/>
              </w:rPr>
              <w:t xml:space="preserve">. Budapest, Európa, 2014.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Jakabházi Réka, Vincze Ferenc (szerk.): </w:t>
            </w:r>
            <w:r w:rsidDel="00000000" w:rsidR="00000000" w:rsidRPr="00000000">
              <w:rPr>
                <w:i w:val="1"/>
                <w:rtl w:val="0"/>
              </w:rPr>
              <w:t xml:space="preserve">Műfajváltozatok, identitásalakzatok, regionalitáskoncepciók, Nyomtatott könyv: a délkelet-európai német irodalom Erdély- és Bánság-vonatkozásai a 19–21. században</w:t>
            </w:r>
            <w:r w:rsidDel="00000000" w:rsidR="00000000" w:rsidRPr="00000000">
              <w:rPr>
                <w:rtl w:val="0"/>
              </w:rPr>
              <w:t xml:space="preserve">. Budapest: Szépirod. Figyelő Alapítvány, 2021.  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János Simon, szerk., </w:t>
            </w:r>
            <w:r w:rsidDel="00000000" w:rsidR="00000000" w:rsidRPr="00000000">
              <w:rPr>
                <w:i w:val="1"/>
                <w:rtl w:val="0"/>
              </w:rPr>
              <w:t xml:space="preserve">Globalizáció, regionalizáció és nemzetállamiság: tanulmányok a nemzetközi kapcsolatok és az újkori történelem tárgyköréből</w:t>
            </w:r>
            <w:r w:rsidDel="00000000" w:rsidR="00000000" w:rsidRPr="00000000">
              <w:rPr>
                <w:rtl w:val="0"/>
              </w:rPr>
              <w:t xml:space="preserve"> (Budapest: L’Harmattan, 2016).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Jeney, Éva – Szegedy-Maszák Mihály: </w:t>
            </w:r>
            <w:r w:rsidDel="00000000" w:rsidR="00000000" w:rsidRPr="00000000">
              <w:rPr>
                <w:i w:val="1"/>
                <w:rtl w:val="0"/>
              </w:rPr>
              <w:t xml:space="preserve">A kultúra átváltozásai : kép, zene, szöveg. </w:t>
            </w:r>
            <w:r w:rsidDel="00000000" w:rsidR="00000000" w:rsidRPr="00000000">
              <w:rPr>
                <w:rtl w:val="0"/>
              </w:rPr>
              <w:t xml:space="preserve">Budapest, Balassi, 2006.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Kelemen Zoltán: </w:t>
            </w:r>
            <w:r w:rsidDel="00000000" w:rsidR="00000000" w:rsidRPr="00000000">
              <w:rPr>
                <w:i w:val="1"/>
                <w:rtl w:val="0"/>
              </w:rPr>
              <w:t xml:space="preserve">Szélkönyvek: multikulturalizmus a közép-európai irodalmakban</w:t>
            </w:r>
            <w:r w:rsidDel="00000000" w:rsidR="00000000" w:rsidRPr="00000000">
              <w:rPr>
                <w:rtl w:val="0"/>
              </w:rPr>
              <w:t xml:space="preserve">. Szeged, Lazi Kiadó, 2007.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Malota Erzsébet, Mitev Ariel: </w:t>
            </w:r>
            <w:r w:rsidDel="00000000" w:rsidR="00000000" w:rsidRPr="00000000">
              <w:rPr>
                <w:i w:val="1"/>
                <w:rtl w:val="0"/>
              </w:rPr>
              <w:t xml:space="preserve">Kultúrák találkozása : nemzetközi kommunikáció, kultúrsokk, sztereotípiák</w:t>
            </w:r>
            <w:r w:rsidDel="00000000" w:rsidR="00000000" w:rsidRPr="00000000">
              <w:rPr>
                <w:rtl w:val="0"/>
              </w:rPr>
              <w:t xml:space="preserve">. Budapest, Alinea, 2013.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Romsics Ignác: </w:t>
            </w:r>
            <w:r w:rsidDel="00000000" w:rsidR="00000000" w:rsidRPr="00000000">
              <w:rPr>
                <w:i w:val="1"/>
                <w:rtl w:val="0"/>
              </w:rPr>
              <w:t xml:space="preserve">Nemzet, nemzetiség és állam Kelet-Közép- és Délkelet-Európában a 19. és 20. században</w:t>
            </w:r>
            <w:r w:rsidDel="00000000" w:rsidR="00000000" w:rsidRPr="00000000">
              <w:rPr>
                <w:rtl w:val="0"/>
              </w:rPr>
              <w:t xml:space="preserve">. Budapest, Napvilág, 2004.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Schöpflin György: </w:t>
            </w:r>
            <w:r w:rsidDel="00000000" w:rsidR="00000000" w:rsidRPr="00000000">
              <w:rPr>
                <w:i w:val="1"/>
                <w:rtl w:val="0"/>
              </w:rPr>
              <w:t xml:space="preserve">Az identitás dilemmái : kultúra, állam, globalizáció.</w:t>
            </w:r>
            <w:r w:rsidDel="00000000" w:rsidR="00000000" w:rsidRPr="00000000">
              <w:rPr>
                <w:rtl w:val="0"/>
              </w:rPr>
              <w:t xml:space="preserve"> Gödöllő, Attraktor, 2004.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Thomka Beáta, N. Kovács Tímea, és Kiss Gábor Zoltán., </w:t>
            </w:r>
            <w:r w:rsidDel="00000000" w:rsidR="00000000" w:rsidRPr="00000000">
              <w:rPr>
                <w:i w:val="1"/>
                <w:rtl w:val="0"/>
              </w:rPr>
              <w:t xml:space="preserve">Narratívák 3.: a kultúra narratívái</w:t>
            </w:r>
            <w:r w:rsidDel="00000000" w:rsidR="00000000" w:rsidRPr="00000000">
              <w:rPr>
                <w:rtl w:val="0"/>
              </w:rPr>
              <w:t xml:space="preserve">, Narratívák (Budapest: Kijárat, 1999).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4"/>
              </w:numPr>
              <w:spacing w:after="120" w:before="0" w:line="240" w:lineRule="auto"/>
              <w:ind w:left="714" w:hanging="357"/>
              <w:rPr/>
            </w:pPr>
            <w:r w:rsidDel="00000000" w:rsidR="00000000" w:rsidRPr="00000000">
              <w:rPr>
                <w:rtl w:val="0"/>
              </w:rPr>
              <w:t xml:space="preserve">Wessely Anna: </w:t>
            </w:r>
            <w:r w:rsidDel="00000000" w:rsidR="00000000" w:rsidRPr="00000000">
              <w:rPr>
                <w:i w:val="1"/>
                <w:rtl w:val="0"/>
              </w:rPr>
              <w:t xml:space="preserve">A kultúra szociológiája</w:t>
            </w:r>
            <w:r w:rsidDel="00000000" w:rsidR="00000000" w:rsidRPr="00000000">
              <w:rPr>
                <w:rtl w:val="0"/>
              </w:rPr>
              <w:t xml:space="preserve">. Budapest, Osiris, 2003.</w:t>
            </w:r>
          </w:p>
          <w:p w:rsidR="00000000" w:rsidDel="00000000" w:rsidP="00000000" w:rsidRDefault="00000000" w:rsidRPr="00000000" w14:paraId="000000FB">
            <w:pPr>
              <w:spacing w:after="120" w:before="280" w:line="240" w:lineRule="auto"/>
              <w:ind w:left="35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spacing w:after="0" w:before="69" w:line="241" w:lineRule="auto"/>
        <w:ind w:right="326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before="69" w:line="241" w:lineRule="auto"/>
        <w:ind w:right="32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Coroborarea conţinuturilor disciplinei cu aşteptările reprezentanţilor comunităţii epistemice, asociaţilor profesionale şi angajatori reprezentativi din domeniul aferent programului</w:t>
      </w:r>
    </w:p>
    <w:p w:rsidR="00000000" w:rsidDel="00000000" w:rsidP="00000000" w:rsidRDefault="00000000" w:rsidRPr="00000000" w14:paraId="00000100">
      <w:pPr>
        <w:spacing w:after="0" w:before="69" w:line="241" w:lineRule="auto"/>
        <w:ind w:right="326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23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30"/>
        <w:tblGridChange w:id="0">
          <w:tblGrid>
            <w:gridCol w:w="10230"/>
          </w:tblGrid>
        </w:tblGridChange>
      </w:tblGrid>
      <w:tr>
        <w:trPr>
          <w:cantSplit w:val="0"/>
          <w:trHeight w:val="862" w:hRule="atLeast"/>
          <w:tblHeader w:val="0"/>
        </w:trPr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Conţinutul disciplinei este în concordanţă cu ceea ce se practică în alte centre universitare din țară și din străinătate.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spacing w:after="0" w:line="2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0" w:line="2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2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after="0" w:line="2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line="2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0" w:line="2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0" w:before="29" w:line="271" w:lineRule="auto"/>
        <w:ind w:right="-2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10. Evaluare</w:t>
      </w:r>
    </w:p>
    <w:p w:rsidR="00000000" w:rsidDel="00000000" w:rsidP="00000000" w:rsidRDefault="00000000" w:rsidRPr="00000000" w14:paraId="0000010A">
      <w:pPr>
        <w:spacing w:after="0" w:before="29" w:line="271" w:lineRule="auto"/>
        <w:ind w:right="-2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90.0" w:type="dxa"/>
        <w:jc w:val="left"/>
        <w:tblInd w:w="5.0" w:type="dxa"/>
        <w:tblLayout w:type="fixed"/>
        <w:tblLook w:val="0000"/>
      </w:tblPr>
      <w:tblGrid>
        <w:gridCol w:w="2518"/>
        <w:gridCol w:w="2410"/>
        <w:gridCol w:w="2715"/>
        <w:gridCol w:w="2547"/>
        <w:tblGridChange w:id="0">
          <w:tblGrid>
            <w:gridCol w:w="2518"/>
            <w:gridCol w:w="2410"/>
            <w:gridCol w:w="2715"/>
            <w:gridCol w:w="254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activitate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67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10.1 Criterii de</w:t>
            </w:r>
          </w:p>
          <w:p w:rsidR="00000000" w:rsidDel="00000000" w:rsidP="00000000" w:rsidRDefault="00000000" w:rsidRPr="00000000" w14:paraId="0000010D">
            <w:pPr>
              <w:spacing w:after="0" w:line="240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67" w:lineRule="auto"/>
              <w:ind w:left="105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10.2 Metode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10.3 Pondere din nota</w:t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finală</w:t>
            </w:r>
          </w:p>
        </w:tc>
      </w:tr>
      <w:tr>
        <w:trPr>
          <w:cantSplit w:val="0"/>
          <w:trHeight w:val="3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0" w:line="267" w:lineRule="auto"/>
              <w:ind w:left="102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10.4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0" w:hanging="14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corectitudinea si  completitudinea cunostinţelor; 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coerenţa logică; 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2"/>
              </w:numPr>
              <w:spacing w:after="0" w:before="9" w:line="240" w:lineRule="auto"/>
              <w:ind w:left="176" w:right="85" w:hanging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gradul de asimilare a limbajului de specialitate; 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2"/>
              </w:numPr>
              <w:spacing w:after="0" w:before="9" w:line="240" w:lineRule="auto"/>
              <w:ind w:left="176" w:right="85" w:hanging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criterii, ce vizeaza aspectele atitudinale: conștiinciozitatea, interesul pentru studiu 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examen scris </w:t>
            </w:r>
          </w:p>
          <w:p w:rsidR="00000000" w:rsidDel="00000000" w:rsidP="00000000" w:rsidRDefault="00000000" w:rsidRPr="00000000" w14:paraId="00000118">
            <w:pPr>
              <w:spacing w:after="0" w:line="240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ind w:left="105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after="0" w:line="267" w:lineRule="auto"/>
              <w:ind w:left="10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after="0" w:line="267" w:lineRule="auto"/>
              <w:ind w:left="10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50%</w:t>
            </w:r>
          </w:p>
          <w:p w:rsidR="00000000" w:rsidDel="00000000" w:rsidP="00000000" w:rsidRDefault="00000000" w:rsidRPr="00000000" w14:paraId="0000011C">
            <w:pPr>
              <w:spacing w:after="0" w:line="267" w:lineRule="auto"/>
              <w:ind w:left="10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0" w:line="267" w:lineRule="auto"/>
              <w:ind w:left="102" w:right="-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50%</w:t>
            </w:r>
          </w:p>
        </w:tc>
      </w:tr>
      <w:tr>
        <w:trPr>
          <w:cantSplit w:val="0"/>
          <w:trHeight w:val="13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widowControl w:val="1"/>
              <w:spacing w:after="0" w:line="240" w:lineRule="auto"/>
              <w:ind w:left="142" w:hanging="14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10.6 Standard minim de performanţă: Cunoașterea elementelor fundamentale de teorie, folosirea adecvată a terminologiei, capacitate minimă de transfer a informa</w:t>
            </w:r>
            <w:r w:rsidDel="00000000" w:rsidR="00000000" w:rsidRPr="00000000">
              <w:rPr>
                <w:rFonts w:ascii="TTE25o00" w:cs="TTE25o00" w:eastAsia="TTE25o00" w:hAnsi="TTE25o00"/>
                <w:sz w:val="24"/>
                <w:szCs w:val="24"/>
                <w:rtl w:val="0"/>
              </w:rPr>
              <w:t xml:space="preserve">ţ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iei de specialitate. Participarea la min. 70% din numărul total de cursuri. Nerespectarea prezenței minime obligatorii se sancționează cu diminuarea notei finale cu 1 punct/absență pentru fiecare absență nemotivată peste limita admisă.</w:t>
            </w:r>
          </w:p>
          <w:p w:rsidR="00000000" w:rsidDel="00000000" w:rsidP="00000000" w:rsidRDefault="00000000" w:rsidRPr="00000000" w14:paraId="0000011F">
            <w:pPr>
              <w:spacing w:after="0" w:line="284" w:lineRule="auto"/>
              <w:ind w:right="-2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spacing w:after="0" w:before="5"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199.0" w:type="dxa"/>
        <w:jc w:val="left"/>
        <w:tblLayout w:type="fixed"/>
        <w:tblLook w:val="0000"/>
      </w:tblPr>
      <w:tblGrid>
        <w:gridCol w:w="2370"/>
        <w:gridCol w:w="4054"/>
        <w:gridCol w:w="3775"/>
        <w:tblGridChange w:id="0">
          <w:tblGrid>
            <w:gridCol w:w="2370"/>
            <w:gridCol w:w="4054"/>
            <w:gridCol w:w="3775"/>
          </w:tblGrid>
        </w:tblGridChange>
      </w:tblGrid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spacing w:after="0" w:before="69" w:line="240" w:lineRule="auto"/>
              <w:ind w:left="40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completării</w:t>
            </w:r>
          </w:p>
          <w:p w:rsidR="00000000" w:rsidDel="00000000" w:rsidP="00000000" w:rsidRDefault="00000000" w:rsidRPr="00000000" w14:paraId="00000126">
            <w:pPr>
              <w:spacing w:after="0" w:before="69" w:line="240" w:lineRule="auto"/>
              <w:ind w:left="40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13.09.2024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spacing w:after="0" w:before="69" w:line="240" w:lineRule="auto"/>
              <w:ind w:right="-2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Semnătura titularului de curs</w:t>
            </w:r>
          </w:p>
          <w:p w:rsidR="00000000" w:rsidDel="00000000" w:rsidP="00000000" w:rsidRDefault="00000000" w:rsidRPr="00000000" w14:paraId="00000128">
            <w:pPr>
              <w:spacing w:after="0" w:before="69" w:line="240" w:lineRule="auto"/>
              <w:ind w:right="-2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Lect. univ. dr. Albu-Balogh Andrea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spacing w:after="0" w:before="69" w:line="240" w:lineRule="auto"/>
              <w:ind w:left="413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Semnătura titularului de seminar</w:t>
            </w:r>
          </w:p>
          <w:p w:rsidR="00000000" w:rsidDel="00000000" w:rsidP="00000000" w:rsidRDefault="00000000" w:rsidRPr="00000000" w14:paraId="0000012A">
            <w:pPr>
              <w:spacing w:after="0" w:before="69" w:line="240" w:lineRule="auto"/>
              <w:ind w:left="413" w:right="-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ind w:right="-2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spacing w:after="0" w:line="240" w:lineRule="auto"/>
              <w:ind w:right="-2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D">
            <w:pPr>
              <w:spacing w:after="0" w:line="240" w:lineRule="auto"/>
              <w:ind w:right="-2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tabs>
          <w:tab w:val="left" w:leader="none" w:pos="6380"/>
        </w:tabs>
        <w:spacing w:after="0" w:before="29" w:line="240" w:lineRule="auto"/>
        <w:ind w:right="-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tabs>
          <w:tab w:val="left" w:leader="none" w:pos="6380"/>
        </w:tabs>
        <w:spacing w:after="0" w:before="29" w:line="240" w:lineRule="auto"/>
        <w:ind w:right="-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avizării în departament</w:t>
        <w:tab/>
        <w:t xml:space="preserve">Semnătura directorului de departament</w:t>
      </w:r>
    </w:p>
    <w:p w:rsidR="00000000" w:rsidDel="00000000" w:rsidP="00000000" w:rsidRDefault="00000000" w:rsidRPr="00000000" w14:paraId="00000130">
      <w:pPr>
        <w:spacing w:after="0" w:before="16" w:line="260" w:lineRule="auto"/>
        <w:ind w:left="576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</w:p>
    <w:p w:rsidR="00000000" w:rsidDel="00000000" w:rsidP="00000000" w:rsidRDefault="00000000" w:rsidRPr="00000000" w14:paraId="00000131">
      <w:pPr>
        <w:spacing w:after="0" w:before="16" w:line="260" w:lineRule="auto"/>
        <w:rPr>
          <w:sz w:val="26"/>
          <w:szCs w:val="26"/>
        </w:rPr>
      </w:pPr>
      <w:r w:rsidDel="00000000" w:rsidR="00000000" w:rsidRPr="00000000">
        <w:rPr>
          <w:sz w:val="24"/>
          <w:szCs w:val="24"/>
          <w:rtl w:val="0"/>
        </w:rPr>
        <w:t xml:space="preserve">16.09.2024</w:t>
        <w:tab/>
        <w:tab/>
        <w:tab/>
        <w:tab/>
        <w:tab/>
        <w:tab/>
        <w:tab/>
        <w:t xml:space="preserve">        </w:t>
        <w:tab/>
        <w:t xml:space="preserve">Lect. univ. dr. Antal-Fóris Joan-James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tabs>
          <w:tab w:val="left" w:leader="none" w:pos="6860"/>
        </w:tabs>
        <w:spacing w:after="0" w:line="240" w:lineRule="auto"/>
        <w:ind w:left="213" w:right="-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1060" w:left="920" w:right="9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TTE25o00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7"/>
      <w:numFmt w:val="decimal"/>
      <w:lvlText w:val="%1"/>
      <w:lvlJc w:val="left"/>
      <w:pPr>
        <w:ind w:left="360" w:hanging="360"/>
      </w:pPr>
      <w:rPr/>
    </w:lvl>
    <w:lvl w:ilvl="1">
      <w:start w:val="2"/>
      <w:numFmt w:val="decimal"/>
      <w:lvlText w:val="%1.%2"/>
      <w:lvlJc w:val="left"/>
      <w:pPr>
        <w:ind w:left="462" w:hanging="360"/>
      </w:pPr>
      <w:rPr/>
    </w:lvl>
    <w:lvl w:ilvl="2">
      <w:start w:val="1"/>
      <w:numFmt w:val="decimal"/>
      <w:lvlText w:val="%1.%2.%3"/>
      <w:lvlJc w:val="left"/>
      <w:pPr>
        <w:ind w:left="924" w:hanging="720"/>
      </w:pPr>
      <w:rPr/>
    </w:lvl>
    <w:lvl w:ilvl="3">
      <w:start w:val="1"/>
      <w:numFmt w:val="decimal"/>
      <w:lvlText w:val="%1.%2.%3.%4"/>
      <w:lvlJc w:val="left"/>
      <w:pPr>
        <w:ind w:left="1026" w:hanging="720"/>
      </w:pPr>
      <w:rPr/>
    </w:lvl>
    <w:lvl w:ilvl="4">
      <w:start w:val="1"/>
      <w:numFmt w:val="decimal"/>
      <w:lvlText w:val="%1.%2.%3.%4.%5"/>
      <w:lvlJc w:val="left"/>
      <w:pPr>
        <w:ind w:left="1488" w:hanging="1080"/>
      </w:pPr>
      <w:rPr/>
    </w:lvl>
    <w:lvl w:ilvl="5">
      <w:start w:val="1"/>
      <w:numFmt w:val="decimal"/>
      <w:lvlText w:val="%1.%2.%3.%4.%5.%6"/>
      <w:lvlJc w:val="left"/>
      <w:pPr>
        <w:ind w:left="1590" w:hanging="1080"/>
      </w:pPr>
      <w:rPr/>
    </w:lvl>
    <w:lvl w:ilvl="6">
      <w:start w:val="1"/>
      <w:numFmt w:val="decimal"/>
      <w:lvlText w:val="%1.%2.%3.%4.%5.%6.%7"/>
      <w:lvlJc w:val="left"/>
      <w:pPr>
        <w:ind w:left="2052" w:hanging="1440"/>
      </w:pPr>
      <w:rPr/>
    </w:lvl>
    <w:lvl w:ilvl="7">
      <w:start w:val="1"/>
      <w:numFmt w:val="decimal"/>
      <w:lvlText w:val="%1.%2.%3.%4.%5.%6.%7.%8"/>
      <w:lvlJc w:val="left"/>
      <w:pPr>
        <w:ind w:left="2154" w:hanging="1440"/>
      </w:pPr>
      <w:rPr/>
    </w:lvl>
    <w:lvl w:ilvl="8">
      <w:start w:val="1"/>
      <w:numFmt w:val="decimal"/>
      <w:lvlText w:val="%1.%2.%3.%4.%5.%6.%7.%8.%9"/>
      <w:lvlJc w:val="left"/>
      <w:pPr>
        <w:ind w:left="2616" w:hanging="1799.9999999999998"/>
      </w:pPr>
      <w:rPr/>
    </w:lvl>
  </w:abstractNum>
  <w:abstractNum w:abstractNumId="2">
    <w:lvl w:ilvl="0">
      <w:start w:val="7"/>
      <w:numFmt w:val="bullet"/>
      <w:lvlText w:val="–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5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7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9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1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3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5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7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9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1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9"/>
      <w:numFmt w:val="decimal"/>
      <w:lvlText w:val="%1.%2"/>
      <w:lvlJc w:val="left"/>
      <w:pPr>
        <w:ind w:left="462" w:hanging="360"/>
      </w:pPr>
      <w:rPr/>
    </w:lvl>
    <w:lvl w:ilvl="2">
      <w:start w:val="1"/>
      <w:numFmt w:val="decimal"/>
      <w:lvlText w:val="%1.%2.%3"/>
      <w:lvlJc w:val="left"/>
      <w:pPr>
        <w:ind w:left="924" w:hanging="720"/>
      </w:pPr>
      <w:rPr/>
    </w:lvl>
    <w:lvl w:ilvl="3">
      <w:start w:val="1"/>
      <w:numFmt w:val="decimal"/>
      <w:lvlText w:val="%1.%2.%3.%4"/>
      <w:lvlJc w:val="left"/>
      <w:pPr>
        <w:ind w:left="1026" w:hanging="720"/>
      </w:pPr>
      <w:rPr/>
    </w:lvl>
    <w:lvl w:ilvl="4">
      <w:start w:val="1"/>
      <w:numFmt w:val="decimal"/>
      <w:lvlText w:val="%1.%2.%3.%4.%5"/>
      <w:lvlJc w:val="left"/>
      <w:pPr>
        <w:ind w:left="1488" w:hanging="1080"/>
      </w:pPr>
      <w:rPr/>
    </w:lvl>
    <w:lvl w:ilvl="5">
      <w:start w:val="1"/>
      <w:numFmt w:val="decimal"/>
      <w:lvlText w:val="%1.%2.%3.%4.%5.%6"/>
      <w:lvlJc w:val="left"/>
      <w:pPr>
        <w:ind w:left="1590" w:hanging="1080"/>
      </w:pPr>
      <w:rPr/>
    </w:lvl>
    <w:lvl w:ilvl="6">
      <w:start w:val="1"/>
      <w:numFmt w:val="decimal"/>
      <w:lvlText w:val="%1.%2.%3.%4.%5.%6.%7"/>
      <w:lvlJc w:val="left"/>
      <w:pPr>
        <w:ind w:left="2052" w:hanging="1440"/>
      </w:pPr>
      <w:rPr/>
    </w:lvl>
    <w:lvl w:ilvl="7">
      <w:start w:val="1"/>
      <w:numFmt w:val="decimal"/>
      <w:lvlText w:val="%1.%2.%3.%4.%5.%6.%7.%8"/>
      <w:lvlJc w:val="left"/>
      <w:pPr>
        <w:ind w:left="2154" w:hanging="1440"/>
      </w:pPr>
      <w:rPr/>
    </w:lvl>
    <w:lvl w:ilvl="8">
      <w:start w:val="1"/>
      <w:numFmt w:val="decimal"/>
      <w:lvlText w:val="%1.%2.%3.%4.%5.%6.%7.%8.%9"/>
      <w:lvlJc w:val="left"/>
      <w:pPr>
        <w:ind w:left="2616" w:hanging="1799.9999999999998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hu-HU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spacing w:after="200" w:line="276" w:lineRule="auto"/>
    </w:pPr>
    <w:rPr>
      <w:rFonts w:cs="Calibri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semiHidden w:val="1"/>
    <w:unhideWhenUsed w:val="1"/>
    <w:rsid w:val="00850338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850338"/>
    <w:rPr>
      <w:rFonts w:cs="Calibri"/>
      <w:sz w:val="22"/>
      <w:szCs w:val="22"/>
      <w:lang w:bidi="ar-SA" w:eastAsia="en-US" w:val="en-US"/>
    </w:rPr>
  </w:style>
  <w:style w:type="paragraph" w:styleId="Footer">
    <w:name w:val="footer"/>
    <w:basedOn w:val="Normal"/>
    <w:link w:val="FooterChar"/>
    <w:uiPriority w:val="99"/>
    <w:unhideWhenUsed w:val="1"/>
    <w:rsid w:val="00850338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50338"/>
    <w:rPr>
      <w:rFonts w:cs="Calibri"/>
      <w:sz w:val="22"/>
      <w:szCs w:val="22"/>
      <w:lang w:bidi="ar-SA" w:eastAsia="en-US" w:val="en-US"/>
    </w:rPr>
  </w:style>
  <w:style w:type="character" w:styleId="keyvalue1" w:customStyle="1">
    <w:name w:val="keyvalue1"/>
    <w:basedOn w:val="DefaultParagraphFont"/>
    <w:rsid w:val="008A33EB"/>
    <w:rPr>
      <w:rFonts w:ascii="Arial" w:cs="Arial" w:hAnsi="Arial" w:hint="default"/>
      <w:color w:val="504949"/>
      <w:sz w:val="15"/>
      <w:szCs w:val="15"/>
      <w:vertAlign w:val="superscript"/>
    </w:rPr>
  </w:style>
  <w:style w:type="character" w:styleId="st1" w:customStyle="1">
    <w:name w:val="st1"/>
    <w:basedOn w:val="DefaultParagraphFont"/>
    <w:rsid w:val="002A0DD7"/>
  </w:style>
  <w:style w:type="paragraph" w:styleId="Default" w:customStyle="1">
    <w:name w:val="Default"/>
    <w:rsid w:val="00CF2E62"/>
    <w:pPr>
      <w:autoSpaceDE w:val="0"/>
      <w:autoSpaceDN w:val="0"/>
      <w:adjustRightInd w:val="0"/>
    </w:pPr>
    <w:rPr>
      <w:color w:val="000000"/>
      <w:sz w:val="24"/>
      <w:szCs w:val="24"/>
      <w:lang w:eastAsia="hu-HU" w:val="hu-HU"/>
    </w:rPr>
  </w:style>
  <w:style w:type="character" w:styleId="xc" w:customStyle="1">
    <w:name w:val="xc"/>
    <w:basedOn w:val="DefaultParagraphFont"/>
    <w:rsid w:val="00F41584"/>
  </w:style>
  <w:style w:type="paragraph" w:styleId="ListParagraph">
    <w:name w:val="List Paragraph"/>
    <w:basedOn w:val="Normal"/>
    <w:uiPriority w:val="34"/>
    <w:qFormat w:val="1"/>
    <w:rsid w:val="00260EB5"/>
    <w:pPr>
      <w:ind w:left="708"/>
    </w:pPr>
  </w:style>
  <w:style w:type="paragraph" w:styleId="Norml1" w:customStyle="1">
    <w:name w:val="Normál1"/>
    <w:rsid w:val="006D1072"/>
    <w:pPr>
      <w:widowControl w:val="0"/>
    </w:pPr>
    <w:rPr>
      <w:lang w:eastAsia="hu-HU" w:val="hu-HU"/>
    </w:rPr>
  </w:style>
  <w:style w:type="character" w:styleId="Bodytext2" w:customStyle="1">
    <w:name w:val="Body text (2)_"/>
    <w:basedOn w:val="DefaultParagraphFont"/>
    <w:link w:val="Bodytext20"/>
    <w:rsid w:val="008B3CA6"/>
    <w:rPr>
      <w:rFonts w:ascii="Tahoma" w:cs="Tahoma" w:eastAsia="Tahoma" w:hAnsi="Tahoma"/>
      <w:sz w:val="13"/>
      <w:szCs w:val="13"/>
      <w:shd w:color="auto" w:fill="ffffff" w:val="clear"/>
    </w:rPr>
  </w:style>
  <w:style w:type="paragraph" w:styleId="Bodytext20" w:customStyle="1">
    <w:name w:val="Body text (2)"/>
    <w:basedOn w:val="Normal"/>
    <w:link w:val="Bodytext2"/>
    <w:rsid w:val="008B3CA6"/>
    <w:pPr>
      <w:shd w:color="auto" w:fill="ffffff" w:val="clear"/>
      <w:spacing w:after="120" w:line="0" w:lineRule="atLeast"/>
      <w:jc w:val="both"/>
    </w:pPr>
    <w:rPr>
      <w:rFonts w:ascii="Tahoma" w:cs="Tahoma" w:eastAsia="Tahoma" w:hAnsi="Tahoma"/>
      <w:sz w:val="13"/>
      <w:szCs w:val="13"/>
      <w:lang w:eastAsia="hu-HU" w:val="hu-HU"/>
    </w:rPr>
  </w:style>
  <w:style w:type="character" w:styleId="Hyperlink">
    <w:name w:val="Hyperlink"/>
    <w:basedOn w:val="DefaultParagraphFont"/>
    <w:uiPriority w:val="99"/>
    <w:semiHidden w:val="1"/>
    <w:unhideWhenUsed w:val="1"/>
    <w:rsid w:val="00020C6B"/>
    <w:rPr>
      <w:color w:val="0000ff"/>
      <w:u w:val="single"/>
    </w:rPr>
  </w:style>
  <w:style w:type="character" w:styleId="keyvalue" w:customStyle="1">
    <w:name w:val="keyvalue"/>
    <w:rsid w:val="006C1705"/>
  </w:style>
  <w:style w:type="character" w:styleId="value" w:customStyle="1">
    <w:name w:val="value"/>
    <w:rsid w:val="006C1705"/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153AA7"/>
    <w:pPr>
      <w:widowControl w:val="1"/>
      <w:spacing w:after="0" w:line="240" w:lineRule="auto"/>
    </w:pPr>
    <w:rPr>
      <w:rFonts w:asciiTheme="minorHAnsi" w:cstheme="minorBidi" w:eastAsiaTheme="minorHAnsi" w:hAnsiTheme="minorHAnsi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153AA7"/>
    <w:rPr>
      <w:rFonts w:asciiTheme="minorHAnsi" w:cstheme="minorBidi" w:eastAsiaTheme="minorHAnsi" w:hAnsi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193.16.218.196:8080/monguz/index.jsp?from_page=details&amp;page=details&amp;dbname=database&amp;bib1id=59&amp;bib1field=0&amp;term=Bp.%7C3259%7C1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3RUnLT59kJTynilboitooK8bmA==">CgMxLjAyCGguZ2pkZ3hzOAByITFMUkk4c19OQ3FJQ3J0R2t5dEhIQXBReVZ5SXoxVEJVNQ==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2024-11-27T11:22:00Z</dcterms:created>
  <dc:creator>Lorena</dc:creator>
</cp:coreProperties>
</file>